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ED" w:rsidRPr="002D778C" w:rsidRDefault="00A50FED" w:rsidP="00A50FED">
      <w:pPr>
        <w:spacing w:line="360" w:lineRule="auto"/>
        <w:jc w:val="right"/>
        <w:rPr>
          <w:rFonts w:ascii="Times New Roman" w:hAnsi="Times New Roman" w:cs="Times New Roman"/>
          <w:b/>
          <w:color w:val="FF0000"/>
          <w:sz w:val="24"/>
          <w:szCs w:val="24"/>
        </w:rPr>
      </w:pPr>
      <w:r w:rsidRPr="002D778C">
        <w:rPr>
          <w:rFonts w:ascii="Times New Roman" w:hAnsi="Times New Roman" w:cs="Times New Roman"/>
          <w:b/>
          <w:color w:val="FF0000"/>
          <w:sz w:val="24"/>
          <w:szCs w:val="24"/>
        </w:rPr>
        <w:t>Anexo 4</w:t>
      </w:r>
    </w:p>
    <w:p w:rsidR="00A50FED" w:rsidRDefault="00A50FED" w:rsidP="00A50FED">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DECLARATORIA DE PREVALORACIÓN</w:t>
      </w:r>
    </w:p>
    <w:p w:rsidR="00A50FED" w:rsidRDefault="00A50FED" w:rsidP="00A50FED">
      <w:pPr>
        <w:spacing w:line="360" w:lineRule="auto"/>
        <w:jc w:val="both"/>
        <w:rPr>
          <w:rFonts w:ascii="Times New Roman" w:hAnsi="Times New Roman" w:cs="Times New Roman"/>
          <w:color w:val="000000" w:themeColor="text1"/>
          <w:sz w:val="24"/>
          <w:szCs w:val="24"/>
        </w:rPr>
      </w:pPr>
    </w:p>
    <w:p w:rsidR="00A50FED" w:rsidRPr="00465D48" w:rsidRDefault="00A50FED" w:rsidP="00A50FED">
      <w:pPr>
        <w:spacing w:line="360" w:lineRule="auto"/>
        <w:jc w:val="both"/>
        <w:rPr>
          <w:rFonts w:ascii="Times New Roman" w:hAnsi="Times New Roman" w:cs="Times New Roman"/>
          <w:color w:val="000000" w:themeColor="text1"/>
        </w:rPr>
      </w:pPr>
      <w:r w:rsidRPr="00465D48">
        <w:rPr>
          <w:rFonts w:ascii="Times New Roman" w:hAnsi="Times New Roman" w:cs="Times New Roman"/>
          <w:color w:val="000000" w:themeColor="text1"/>
        </w:rPr>
        <w:t>Se declara que el inventario documental que respalda los archivos cuya transferencia secundaria se promueve, contiene de ____ a _____ fojas que amparan los expedientes procedentes de (nombre de la unidad administrativa o jurisdiccional).</w:t>
      </w:r>
    </w:p>
    <w:p w:rsidR="00A50FED" w:rsidRPr="00465D48" w:rsidRDefault="00A50FED" w:rsidP="00A50FED">
      <w:pPr>
        <w:spacing w:line="360" w:lineRule="auto"/>
        <w:jc w:val="both"/>
        <w:rPr>
          <w:rFonts w:ascii="Times New Roman" w:hAnsi="Times New Roman" w:cs="Times New Roman"/>
          <w:color w:val="000000" w:themeColor="text1"/>
        </w:rPr>
      </w:pPr>
      <w:r w:rsidRPr="00465D48">
        <w:rPr>
          <w:rFonts w:ascii="Times New Roman" w:hAnsi="Times New Roman" w:cs="Times New Roman"/>
          <w:color w:val="000000" w:themeColor="text1"/>
        </w:rPr>
        <w:t>La transferencia secundaria se realiza con base en el catálogo de disposición documental vigente (anotar la fecha de la última actualización y, de ser el caso, indicar alguna otra disposición jurídica que avale el procedimiento y si se trata de archivos con valor administrativo, jurídico, fiscal o contable).</w:t>
      </w:r>
    </w:p>
    <w:p w:rsidR="00A50FED" w:rsidRPr="00465D48" w:rsidRDefault="00A50FED" w:rsidP="00A50FED">
      <w:pPr>
        <w:spacing w:line="360" w:lineRule="auto"/>
        <w:jc w:val="both"/>
        <w:rPr>
          <w:rFonts w:ascii="Times New Roman" w:hAnsi="Times New Roman" w:cs="Times New Roman"/>
        </w:rPr>
      </w:pPr>
      <w:r w:rsidRPr="00465D48">
        <w:rPr>
          <w:rFonts w:ascii="Times New Roman" w:hAnsi="Times New Roman" w:cs="Times New Roman"/>
        </w:rPr>
        <w:t xml:space="preserve">Se llevó a cabo un procedimiento de </w:t>
      </w:r>
      <w:proofErr w:type="spellStart"/>
      <w:r w:rsidRPr="00465D48">
        <w:rPr>
          <w:rFonts w:ascii="Times New Roman" w:hAnsi="Times New Roman" w:cs="Times New Roman"/>
        </w:rPr>
        <w:t>prevaloración</w:t>
      </w:r>
      <w:proofErr w:type="spellEnd"/>
      <w:r w:rsidRPr="00465D48">
        <w:rPr>
          <w:rFonts w:ascii="Times New Roman" w:hAnsi="Times New Roman" w:cs="Times New Roman"/>
        </w:rPr>
        <w:t xml:space="preserve">, cuya ficha técnica se anexa, y </w:t>
      </w:r>
      <w:r w:rsidRPr="00465D48">
        <w:rPr>
          <w:rFonts w:ascii="Times New Roman" w:hAnsi="Times New Roman" w:cs="Times New Roman"/>
          <w:b/>
        </w:rPr>
        <w:t xml:space="preserve">SI O NO se detectaron </w:t>
      </w:r>
      <w:r w:rsidRPr="00465D48">
        <w:rPr>
          <w:rFonts w:ascii="Times New Roman" w:hAnsi="Times New Roman" w:cs="Times New Roman"/>
        </w:rPr>
        <w:t xml:space="preserve">expedientes o series con valor histórico, mismos que se han marcado en los inventarios para su transferencia al archivo histórico de la dependencia. Al revisar expediente contra inventarios se observó que estos últimos reflejan el contenido de los </w:t>
      </w:r>
      <w:r w:rsidRPr="00465D48">
        <w:rPr>
          <w:rFonts w:ascii="Times New Roman" w:hAnsi="Times New Roman" w:cs="Times New Roman"/>
          <w:b/>
        </w:rPr>
        <w:t>expedientes (en caso negativo, explicar que acciones se tomaron para determinar si existían o no valores secundarios y explicar cuál fue el resultado de las acciones tomadas),</w:t>
      </w:r>
      <w:r w:rsidRPr="00465D48">
        <w:rPr>
          <w:rFonts w:ascii="Times New Roman" w:hAnsi="Times New Roman" w:cs="Times New Roman"/>
        </w:rPr>
        <w:t xml:space="preserve"> en virtud de ser archivos carentes de valores cuyo valor histórico procede. </w:t>
      </w:r>
    </w:p>
    <w:p w:rsidR="00A50FED" w:rsidRPr="00465D48" w:rsidRDefault="00A50FED" w:rsidP="00A50FED">
      <w:pPr>
        <w:spacing w:line="360" w:lineRule="auto"/>
        <w:jc w:val="both"/>
        <w:rPr>
          <w:rFonts w:ascii="Times New Roman" w:hAnsi="Times New Roman" w:cs="Times New Roman"/>
          <w:color w:val="000000" w:themeColor="text1"/>
        </w:rPr>
      </w:pPr>
      <w:r w:rsidRPr="00465D48">
        <w:rPr>
          <w:rFonts w:ascii="Times New Roman" w:hAnsi="Times New Roman" w:cs="Times New Roman"/>
        </w:rPr>
        <w:t xml:space="preserve">Asimismo, se declara que en la documentación no están contenidos originales referentes a activo fijo, obra pública, valores financieros, aportaciones a capital, empréstitos, créditos concedidos e inversiones en otras entidades, así como juicios, denuncias ante el ministerio público y </w:t>
      </w:r>
      <w:proofErr w:type="spellStart"/>
      <w:r w:rsidRPr="00465D48">
        <w:rPr>
          <w:rFonts w:ascii="Times New Roman" w:hAnsi="Times New Roman" w:cs="Times New Roman"/>
        </w:rPr>
        <w:t>fincamiento</w:t>
      </w:r>
      <w:proofErr w:type="spellEnd"/>
      <w:r w:rsidRPr="00465D48">
        <w:rPr>
          <w:rFonts w:ascii="Times New Roman" w:hAnsi="Times New Roman" w:cs="Times New Roman"/>
        </w:rPr>
        <w:t xml:space="preserve"> de responsabilidades pendientes de resolución o expedientes con información reservada cuyo plazo de conservación no han prescrito, conforme a disposiciones aplicables.</w:t>
      </w:r>
    </w:p>
    <w:p w:rsidR="00A50FED" w:rsidRDefault="00A50FED" w:rsidP="00A50FED">
      <w:pPr>
        <w:spacing w:line="360" w:lineRule="auto"/>
        <w:jc w:val="center"/>
        <w:rPr>
          <w:rFonts w:ascii="Times New Roman" w:hAnsi="Times New Roman" w:cs="Times New Roman"/>
          <w:b/>
          <w:color w:val="833C0B" w:themeColor="accent2" w:themeShade="80"/>
          <w:sz w:val="40"/>
          <w:szCs w:val="40"/>
        </w:rPr>
      </w:pPr>
      <w:r w:rsidRPr="0012558B">
        <w:rPr>
          <w:rFonts w:ascii="Times New Roman" w:hAnsi="Times New Roman" w:cs="Times New Roman"/>
          <w:b/>
          <w:noProof/>
          <w:color w:val="FF0000"/>
          <w:lang w:eastAsia="es-MX"/>
        </w:rPr>
        <mc:AlternateContent>
          <mc:Choice Requires="wps">
            <w:drawing>
              <wp:anchor distT="0" distB="0" distL="114300" distR="114300" simplePos="0" relativeHeight="251659264" behindDoc="0" locked="0" layoutInCell="1" allowOverlap="1" wp14:anchorId="28B71BD5" wp14:editId="13B3737A">
                <wp:simplePos x="0" y="0"/>
                <wp:positionH relativeFrom="column">
                  <wp:posOffset>1200610</wp:posOffset>
                </wp:positionH>
                <wp:positionV relativeFrom="paragraph">
                  <wp:posOffset>136854</wp:posOffset>
                </wp:positionV>
                <wp:extent cx="3892732" cy="1198180"/>
                <wp:effectExtent l="0" t="0" r="0" b="2540"/>
                <wp:wrapNone/>
                <wp:docPr id="304" name="Cuadro de texto 304"/>
                <wp:cNvGraphicFramePr/>
                <a:graphic xmlns:a="http://schemas.openxmlformats.org/drawingml/2006/main">
                  <a:graphicData uri="http://schemas.microsoft.com/office/word/2010/wordprocessingShape">
                    <wps:wsp>
                      <wps:cNvSpPr txBox="1"/>
                      <wps:spPr>
                        <a:xfrm>
                          <a:off x="0" y="0"/>
                          <a:ext cx="3892732" cy="1198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71BD5" id="_x0000_t202" coordsize="21600,21600" o:spt="202" path="m,l,21600r21600,l21600,xe">
                <v:stroke joinstyle="miter"/>
                <v:path gradientshapeok="t" o:connecttype="rect"/>
              </v:shapetype>
              <v:shape id="Cuadro de texto 304" o:spid="_x0000_s1026" type="#_x0000_t202" style="position:absolute;left:0;text-align:left;margin-left:94.55pt;margin-top:10.8pt;width:306.5pt;height:9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" filled="f" stroked="f" strokeweight=".5pt">
                <v:textbox>
                  <w:txbxContent>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p w:rsidR="00A50FED" w:rsidRDefault="00A50FED" w:rsidP="00A50FED"/>
                    <w:p w:rsidR="00A50FED" w:rsidRPr="00465D48" w:rsidRDefault="00A50FED" w:rsidP="00A50FED">
                      <w:pPr>
                        <w:pBdr>
                          <w:bottom w:val="single" w:sz="12" w:space="1" w:color="auto"/>
                        </w:pBdr>
                        <w:jc w:val="center"/>
                        <w:rPr>
                          <w:rFonts w:ascii="Times New Roman" w:hAnsi="Times New Roman" w:cs="Times New Roman"/>
                          <w:b/>
                        </w:rPr>
                      </w:pPr>
                      <w:r w:rsidRPr="00465D48">
                        <w:rPr>
                          <w:rFonts w:ascii="Times New Roman" w:hAnsi="Times New Roman" w:cs="Times New Roman"/>
                          <w:b/>
                        </w:rPr>
                        <w:t>Elaboró</w:t>
                      </w:r>
                    </w:p>
                    <w:p w:rsidR="00A50FED" w:rsidRPr="00465D48" w:rsidRDefault="00A50FED" w:rsidP="00A50FED">
                      <w:pPr>
                        <w:pBdr>
                          <w:bottom w:val="single" w:sz="12" w:space="1" w:color="auto"/>
                        </w:pBdr>
                        <w:jc w:val="center"/>
                        <w:rPr>
                          <w:rFonts w:ascii="Times New Roman" w:hAnsi="Times New Roman" w:cs="Times New Roman"/>
                          <w:b/>
                        </w:rPr>
                      </w:pPr>
                    </w:p>
                    <w:p w:rsidR="00A50FED" w:rsidRPr="00465D48" w:rsidRDefault="00A50FED" w:rsidP="00A50FED">
                      <w:pPr>
                        <w:jc w:val="center"/>
                        <w:rPr>
                          <w:rFonts w:ascii="Times New Roman" w:hAnsi="Times New Roman" w:cs="Times New Roman"/>
                          <w:b/>
                        </w:rPr>
                      </w:pPr>
                      <w:r w:rsidRPr="00465D48">
                        <w:rPr>
                          <w:rFonts w:ascii="Times New Roman" w:hAnsi="Times New Roman" w:cs="Times New Roman"/>
                          <w:b/>
                        </w:rPr>
                        <w:t>Nombre y firma del responsable del archivo de concentración</w:t>
                      </w:r>
                    </w:p>
                  </w:txbxContent>
                </v:textbox>
              </v:shape>
            </w:pict>
          </mc:Fallback>
        </mc:AlternateContent>
      </w:r>
    </w:p>
    <w:p w:rsidR="00A50FED" w:rsidRDefault="00A50FED" w:rsidP="00A50FED">
      <w:pPr>
        <w:spacing w:line="360" w:lineRule="auto"/>
        <w:jc w:val="center"/>
        <w:rPr>
          <w:rFonts w:ascii="Times New Roman" w:hAnsi="Times New Roman" w:cs="Times New Roman"/>
          <w:b/>
          <w:color w:val="833C0B" w:themeColor="accent2" w:themeShade="80"/>
          <w:sz w:val="40"/>
          <w:szCs w:val="40"/>
        </w:rPr>
      </w:pPr>
    </w:p>
    <w:p w:rsidR="00A50FED" w:rsidRDefault="00A50FED" w:rsidP="00A50FED">
      <w:pPr>
        <w:spacing w:line="360" w:lineRule="auto"/>
        <w:jc w:val="center"/>
        <w:rPr>
          <w:rFonts w:ascii="Times New Roman" w:hAnsi="Times New Roman" w:cs="Times New Roman"/>
          <w:b/>
          <w:color w:val="833C0B" w:themeColor="accent2" w:themeShade="80"/>
          <w:sz w:val="40"/>
          <w:szCs w:val="40"/>
        </w:rPr>
      </w:pPr>
    </w:p>
    <w:p w:rsidR="00B72DCA" w:rsidRDefault="00020595">
      <w:bookmarkStart w:id="0" w:name="_GoBack"/>
      <w:bookmarkEnd w:id="0"/>
    </w:p>
    <w:sectPr w:rsidR="00B72DC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95" w:rsidRDefault="00020595" w:rsidP="008044A1">
      <w:pPr>
        <w:spacing w:after="0" w:line="240" w:lineRule="auto"/>
      </w:pPr>
      <w:r>
        <w:separator/>
      </w:r>
    </w:p>
  </w:endnote>
  <w:endnote w:type="continuationSeparator" w:id="0">
    <w:p w:rsidR="00020595" w:rsidRDefault="00020595" w:rsidP="0080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95" w:rsidRDefault="00020595" w:rsidP="008044A1">
      <w:pPr>
        <w:spacing w:after="0" w:line="240" w:lineRule="auto"/>
      </w:pPr>
      <w:r>
        <w:separator/>
      </w:r>
    </w:p>
  </w:footnote>
  <w:footnote w:type="continuationSeparator" w:id="0">
    <w:p w:rsidR="00020595" w:rsidRDefault="00020595" w:rsidP="00804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1" w:rsidRPr="00C96059" w:rsidRDefault="008044A1" w:rsidP="008044A1">
    <w:pPr>
      <w:pStyle w:val="Encabezado"/>
      <w:jc w:val="center"/>
      <w:rPr>
        <w:color w:val="171717" w:themeColor="background2" w:themeShade="1A"/>
      </w:rPr>
    </w:pPr>
    <w:r>
      <w:rPr>
        <w:noProof/>
        <w:color w:val="E7E6E6" w:themeColor="background2"/>
        <w:lang w:eastAsia="es-MX"/>
      </w:rPr>
      <mc:AlternateContent>
        <mc:Choice Requires="wps">
          <w:drawing>
            <wp:anchor distT="0" distB="0" distL="114300" distR="114300" simplePos="0" relativeHeight="251660288" behindDoc="1" locked="0" layoutInCell="1" allowOverlap="1" wp14:anchorId="56E8D22A" wp14:editId="3CD382E1">
              <wp:simplePos x="0" y="0"/>
              <wp:positionH relativeFrom="margin">
                <wp:align>left</wp:align>
              </wp:positionH>
              <wp:positionV relativeFrom="paragraph">
                <wp:posOffset>-293096</wp:posOffset>
              </wp:positionV>
              <wp:extent cx="4312920" cy="609600"/>
              <wp:effectExtent l="0" t="0" r="0" b="0"/>
              <wp:wrapTight wrapText="bothSides">
                <wp:wrapPolygon edited="0">
                  <wp:start x="286" y="0"/>
                  <wp:lineTo x="286" y="20925"/>
                  <wp:lineTo x="21276" y="20925"/>
                  <wp:lineTo x="21276" y="0"/>
                  <wp:lineTo x="286" y="0"/>
                </wp:wrapPolygon>
              </wp:wrapTight>
              <wp:docPr id="22" name="Cuadro de texto 22"/>
              <wp:cNvGraphicFramePr/>
              <a:graphic xmlns:a="http://schemas.openxmlformats.org/drawingml/2006/main">
                <a:graphicData uri="http://schemas.microsoft.com/office/word/2010/wordprocessingShape">
                  <wps:wsp>
                    <wps:cNvSpPr txBox="1"/>
                    <wps:spPr>
                      <a:xfrm>
                        <a:off x="0" y="0"/>
                        <a:ext cx="431292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4A1" w:rsidRPr="00551010" w:rsidRDefault="008044A1" w:rsidP="008044A1">
                          <w:r w:rsidRPr="00551010">
                            <w:rPr>
                              <w:rFonts w:ascii="Arial" w:hAnsi="Arial" w:cs="Arial"/>
                              <w:color w:val="171717" w:themeColor="background2" w:themeShade="1A"/>
                              <w:sz w:val="20"/>
                              <w:szCs w:val="20"/>
                            </w:rPr>
                            <w:t>GUÍA DE OPERACIÓN DEL SISTEMA INSTITUCIONAL DE ARCHIVOS DEL TRIBUNAL ELECTORAL DE TABASCO.</w:t>
                          </w:r>
                        </w:p>
                        <w:p w:rsidR="008044A1" w:rsidRPr="00551010" w:rsidRDefault="008044A1" w:rsidP="00804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E8D22A" id="_x0000_t202" coordsize="21600,21600" o:spt="202" path="m,l,21600r21600,l21600,xe">
              <v:stroke joinstyle="miter"/>
              <v:path gradientshapeok="t" o:connecttype="rect"/>
            </v:shapetype>
            <v:shape id="Cuadro de texto 22" o:spid="_x0000_s1027" type="#_x0000_t202" style="position:absolute;left:0;text-align:left;margin-left:0;margin-top:-23.1pt;width:339.6pt;height:48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" filled="f" stroked="f" strokeweight=".5pt">
              <v:textbox>
                <w:txbxContent>
                  <w:p w:rsidR="008044A1" w:rsidRPr="00551010" w:rsidRDefault="008044A1" w:rsidP="008044A1">
                    <w:r w:rsidRPr="00551010">
                      <w:rPr>
                        <w:rFonts w:ascii="Arial" w:hAnsi="Arial" w:cs="Arial"/>
                        <w:color w:val="171717" w:themeColor="background2" w:themeShade="1A"/>
                        <w:sz w:val="20"/>
                        <w:szCs w:val="20"/>
                      </w:rPr>
                      <w:t>GUÍA DE OPERACIÓN DEL SISTEMA INSTITUCIONAL DE ARCHIVOS DEL TRIBUNAL ELECTORAL DE TABASCO.</w:t>
                    </w:r>
                  </w:p>
                  <w:p w:rsidR="008044A1" w:rsidRPr="00551010" w:rsidRDefault="008044A1" w:rsidP="008044A1"/>
                </w:txbxContent>
              </v:textbox>
              <w10:wrap type="tight" anchorx="margin"/>
            </v:shape>
          </w:pict>
        </mc:Fallback>
      </mc:AlternateContent>
    </w:r>
    <w:r>
      <w:rPr>
        <w:noProof/>
        <w:color w:val="171717" w:themeColor="background2" w:themeShade="1A"/>
        <w:lang w:eastAsia="es-MX"/>
      </w:rPr>
      <w:drawing>
        <wp:anchor distT="0" distB="0" distL="114300" distR="114300" simplePos="0" relativeHeight="251662336" behindDoc="1" locked="0" layoutInCell="1" allowOverlap="1" wp14:anchorId="1950C19D" wp14:editId="4A206FA3">
          <wp:simplePos x="0" y="0"/>
          <wp:positionH relativeFrom="leftMargin">
            <wp:align>right</wp:align>
          </wp:positionH>
          <wp:positionV relativeFrom="margin">
            <wp:posOffset>-842576</wp:posOffset>
          </wp:positionV>
          <wp:extent cx="551815" cy="571500"/>
          <wp:effectExtent l="0" t="0" r="635" b="0"/>
          <wp:wrapTight wrapText="bothSides">
            <wp:wrapPolygon edited="0">
              <wp:start x="1491" y="0"/>
              <wp:lineTo x="0" y="2160"/>
              <wp:lineTo x="0" y="15840"/>
              <wp:lineTo x="746" y="20160"/>
              <wp:lineTo x="1491" y="20880"/>
              <wp:lineTo x="19388" y="20880"/>
              <wp:lineTo x="20133" y="20160"/>
              <wp:lineTo x="20879" y="15840"/>
              <wp:lineTo x="20879" y="2160"/>
              <wp:lineTo x="19388" y="0"/>
              <wp:lineTo x="1491" y="0"/>
            </wp:wrapPolygon>
          </wp:wrapTight>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71500"/>
                  </a:xfrm>
                  <a:prstGeom prst="rect">
                    <a:avLst/>
                  </a:prstGeom>
                  <a:noFill/>
                </pic:spPr>
              </pic:pic>
            </a:graphicData>
          </a:graphic>
          <wp14:sizeRelH relativeFrom="margin">
            <wp14:pctWidth>0</wp14:pctWidth>
          </wp14:sizeRelH>
          <wp14:sizeRelV relativeFrom="margin">
            <wp14:pctHeight>0</wp14:pctHeight>
          </wp14:sizeRelV>
        </wp:anchor>
      </w:drawing>
    </w:r>
    <w:r w:rsidRPr="00C96059">
      <w:rPr>
        <w:noProof/>
        <w:color w:val="171717" w:themeColor="background2" w:themeShade="1A"/>
        <w:lang w:eastAsia="es-MX"/>
      </w:rPr>
      <mc:AlternateContent>
        <mc:Choice Requires="wps">
          <w:drawing>
            <wp:anchor distT="0" distB="0" distL="114300" distR="114300" simplePos="0" relativeHeight="251661312" behindDoc="0" locked="0" layoutInCell="1" allowOverlap="1" wp14:anchorId="5967A49E" wp14:editId="78232A85">
              <wp:simplePos x="0" y="0"/>
              <wp:positionH relativeFrom="page">
                <wp:align>left</wp:align>
              </wp:positionH>
              <wp:positionV relativeFrom="paragraph">
                <wp:posOffset>246289</wp:posOffset>
              </wp:positionV>
              <wp:extent cx="7767320" cy="45719"/>
              <wp:effectExtent l="0" t="0" r="24130" b="12065"/>
              <wp:wrapNone/>
              <wp:docPr id="13" name="Rectángulo 13"/>
              <wp:cNvGraphicFramePr/>
              <a:graphic xmlns:a="http://schemas.openxmlformats.org/drawingml/2006/main">
                <a:graphicData uri="http://schemas.microsoft.com/office/word/2010/wordprocessingShape">
                  <wps:wsp>
                    <wps:cNvSpPr/>
                    <wps:spPr>
                      <a:xfrm>
                        <a:off x="0" y="0"/>
                        <a:ext cx="7767320" cy="45719"/>
                      </a:xfrm>
                      <a:prstGeom prst="rect">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81149" id="Rectángulo 13" o:spid="_x0000_s1026" style="position:absolute;margin-left:0;margin-top:19.4pt;width:611.6pt;height:3.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" fillcolor="#375623 [1609]" strokecolor="#375623 [1609]" strokeweight="1pt">
              <w10:wrap anchorx="page"/>
            </v:rect>
          </w:pict>
        </mc:Fallback>
      </mc:AlternateContent>
    </w:r>
    <w:r w:rsidRPr="00C96059">
      <w:rPr>
        <w:noProof/>
        <w:color w:val="171717" w:themeColor="background2" w:themeShade="1A"/>
        <w:lang w:eastAsia="es-MX"/>
      </w:rPr>
      <mc:AlternateContent>
        <mc:Choice Requires="wps">
          <w:drawing>
            <wp:anchor distT="0" distB="0" distL="114300" distR="114300" simplePos="0" relativeHeight="251659264" behindDoc="0" locked="0" layoutInCell="1" allowOverlap="1" wp14:anchorId="78232A72" wp14:editId="78205A9C">
              <wp:simplePos x="0" y="0"/>
              <wp:positionH relativeFrom="page">
                <wp:align>left</wp:align>
              </wp:positionH>
              <wp:positionV relativeFrom="paragraph">
                <wp:posOffset>278946</wp:posOffset>
              </wp:positionV>
              <wp:extent cx="7767320" cy="45719"/>
              <wp:effectExtent l="0" t="0" r="24130" b="12065"/>
              <wp:wrapNone/>
              <wp:docPr id="21" name="Rectángulo 21"/>
              <wp:cNvGraphicFramePr/>
              <a:graphic xmlns:a="http://schemas.openxmlformats.org/drawingml/2006/main">
                <a:graphicData uri="http://schemas.microsoft.com/office/word/2010/wordprocessingShape">
                  <wps:wsp>
                    <wps:cNvSpPr/>
                    <wps:spPr>
                      <a:xfrm>
                        <a:off x="0" y="0"/>
                        <a:ext cx="7767320" cy="45719"/>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91F54" id="Rectángulo 21" o:spid="_x0000_s1026" style="position:absolute;margin-left:0;margin-top:21.95pt;width:611.6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" fillcolor="#c45911 [2405]" strokecolor="#c45911 [2405]" strokeweight="1pt">
              <w10:wrap anchorx="page"/>
            </v:rect>
          </w:pict>
        </mc:Fallback>
      </mc:AlternateContent>
    </w:r>
  </w:p>
  <w:p w:rsidR="008044A1" w:rsidRDefault="008044A1" w:rsidP="008044A1">
    <w:pPr>
      <w:pStyle w:val="Encabezado"/>
    </w:pPr>
  </w:p>
  <w:p w:rsidR="008044A1" w:rsidRDefault="008044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A1"/>
    <w:rsid w:val="00020595"/>
    <w:rsid w:val="00215072"/>
    <w:rsid w:val="006D6A34"/>
    <w:rsid w:val="008044A1"/>
    <w:rsid w:val="00A50FED"/>
    <w:rsid w:val="00F02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E3083-F26D-4F33-9768-2C00BA27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44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4A1"/>
  </w:style>
  <w:style w:type="paragraph" w:styleId="Piedepgina">
    <w:name w:val="footer"/>
    <w:basedOn w:val="Normal"/>
    <w:link w:val="PiedepginaCar"/>
    <w:uiPriority w:val="99"/>
    <w:unhideWhenUsed/>
    <w:rsid w:val="008044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PcGabriela</dc:creator>
  <cp:keywords/>
  <dc:description/>
  <cp:lastModifiedBy>PcGabriela</cp:lastModifiedBy>
  <cp:revision>2</cp:revision>
  <dcterms:created xsi:type="dcterms:W3CDTF">2022-05-25T17:35:00Z</dcterms:created>
  <dcterms:modified xsi:type="dcterms:W3CDTF">2022-05-25T17:41:00Z</dcterms:modified>
</cp:coreProperties>
</file>